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0A999">
      <w:pPr>
        <w:rPr>
          <w:rFonts w:hint="eastAsia" w:ascii="黑体" w:hAnsi="黑体" w:eastAsia="黑体"/>
          <w:sz w:val="32"/>
          <w:szCs w:val="32"/>
        </w:rPr>
      </w:pPr>
    </w:p>
    <w:p w14:paraId="2CC71A71">
      <w:pPr>
        <w:jc w:val="center"/>
        <w:rPr>
          <w:rFonts w:hint="eastAsia" w:ascii="方正小标宋_GBK" w:hAnsi="宋体" w:eastAsia="方正小标宋_GBK"/>
          <w:sz w:val="44"/>
          <w:szCs w:val="44"/>
        </w:rPr>
      </w:pPr>
    </w:p>
    <w:p w14:paraId="6D4E1BF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木垒哈萨克自治县农村水利技术服务站</w:t>
      </w:r>
    </w:p>
    <w:p w14:paraId="6892E3E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63E491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E87FE2E">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22F155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3524A0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6EDBF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9EA11A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3B483A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F2C19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9EC6F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E81FE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C1AA2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D8CF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CACD5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D7A9C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3E3F7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B9374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2DBEF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A906FB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21B0C7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2BAC9B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2D83A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C3DD1D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AA886C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E47D11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42E4E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F8C46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369CF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D5D5C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1A7065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FAA19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BA43F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7341B3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50503E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C7325C8">
      <w:r>
        <w:rPr>
          <w:rFonts w:hint="eastAsia" w:ascii="仿宋_GB2312" w:hAnsi="仿宋_GB2312" w:eastAsia="仿宋_GB2312" w:cs="仿宋_GB2312"/>
          <w:sz w:val="32"/>
          <w:szCs w:val="32"/>
        </w:rPr>
        <w:fldChar w:fldCharType="end"/>
      </w:r>
    </w:p>
    <w:p w14:paraId="187D4F56">
      <w:pPr>
        <w:rPr>
          <w:rFonts w:ascii="仿宋_GB2312" w:eastAsia="仿宋_GB2312"/>
          <w:sz w:val="32"/>
          <w:szCs w:val="32"/>
        </w:rPr>
      </w:pPr>
      <w:r>
        <w:rPr>
          <w:rFonts w:hint="eastAsia" w:ascii="仿宋_GB2312" w:eastAsia="仿宋_GB2312"/>
          <w:sz w:val="32"/>
          <w:szCs w:val="32"/>
        </w:rPr>
        <w:br w:type="page"/>
      </w:r>
    </w:p>
    <w:p w14:paraId="1A595C7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13C892E">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3A67AF02">
      <w:pPr>
        <w:ind w:firstLine="640" w:firstLineChars="200"/>
        <w:rPr>
          <w:rFonts w:ascii="仿宋_GB2312" w:eastAsia="仿宋_GB2312"/>
          <w:sz w:val="32"/>
          <w:szCs w:val="32"/>
        </w:rPr>
      </w:pPr>
      <w:r>
        <w:rPr>
          <w:rFonts w:hint="eastAsia" w:ascii="仿宋_GB2312" w:eastAsia="仿宋_GB2312"/>
          <w:sz w:val="32"/>
          <w:szCs w:val="32"/>
        </w:rPr>
        <w:t>为水利建设提供技术服务，承担水利工程的勘察、测绘规划科研概预算以及施工工作，节约用水的先进科学技术和管理经验，建立和完善节水制度；负责组织实施水资源动态监测工作，定期向社会公布，对新建、改建、扩大入河、入湖排污口进行审查。</w:t>
      </w:r>
    </w:p>
    <w:p w14:paraId="36B1BEF6">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BF7B809">
      <w:pPr>
        <w:ind w:firstLine="640" w:firstLineChars="200"/>
        <w:rPr>
          <w:rFonts w:ascii="仿宋_GB2312" w:eastAsia="仿宋_GB2312"/>
          <w:sz w:val="32"/>
          <w:szCs w:val="32"/>
        </w:rPr>
      </w:pPr>
      <w:r>
        <w:rPr>
          <w:rFonts w:hint="eastAsia" w:ascii="仿宋_GB2312" w:eastAsia="仿宋_GB2312"/>
          <w:sz w:val="32"/>
          <w:szCs w:val="32"/>
        </w:rPr>
        <w:t>木垒哈萨克自治县农村水利技术服务站2023年度，实有人数17人，其中：在职人员13人，离休人员0人，退休人员4人。</w:t>
      </w:r>
    </w:p>
    <w:p w14:paraId="42F0776B">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单位无下属预算单位，下设1个处室，分别是：办公室。</w:t>
      </w:r>
    </w:p>
    <w:p w14:paraId="10E2BF8D">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5DB479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8560449">
      <w:pPr>
        <w:ind w:firstLine="640" w:firstLineChars="200"/>
        <w:rPr>
          <w:rFonts w:ascii="仿宋_GB2312" w:eastAsia="仿宋_GB2312"/>
          <w:sz w:val="32"/>
          <w:szCs w:val="32"/>
        </w:rPr>
      </w:pPr>
      <w:r>
        <w:rPr>
          <w:rFonts w:hint="eastAsia" w:ascii="仿宋_GB2312" w:eastAsia="仿宋_GB2312"/>
          <w:sz w:val="32"/>
          <w:szCs w:val="32"/>
        </w:rPr>
        <w:t>2023年度收入总计250.27万元，其中：本年收入合计250.27万元，使用非财政拨款结余0.00万元，年初结转和结余0.00万元。</w:t>
      </w:r>
    </w:p>
    <w:p w14:paraId="06EF203E">
      <w:pPr>
        <w:ind w:firstLine="640" w:firstLineChars="200"/>
        <w:rPr>
          <w:rFonts w:ascii="仿宋_GB2312" w:eastAsia="仿宋_GB2312"/>
          <w:sz w:val="32"/>
          <w:szCs w:val="32"/>
        </w:rPr>
      </w:pPr>
      <w:r>
        <w:rPr>
          <w:rFonts w:hint="eastAsia" w:ascii="仿宋_GB2312" w:eastAsia="仿宋_GB2312"/>
          <w:sz w:val="32"/>
          <w:szCs w:val="32"/>
        </w:rPr>
        <w:t>2023年度支出总计250.27万元，其中：本年支出合计250.27万元，结余分配0.00万元，年末结转和结余0.00万元。</w:t>
      </w:r>
    </w:p>
    <w:p w14:paraId="1EB49516">
      <w:pPr>
        <w:ind w:firstLine="640" w:firstLineChars="200"/>
        <w:rPr>
          <w:rFonts w:ascii="仿宋_GB2312" w:eastAsia="仿宋_GB2312"/>
          <w:sz w:val="32"/>
          <w:szCs w:val="32"/>
        </w:rPr>
      </w:pPr>
      <w:r>
        <w:rPr>
          <w:rFonts w:hint="eastAsia" w:ascii="仿宋_GB2312" w:eastAsia="仿宋_GB2312"/>
          <w:sz w:val="32"/>
          <w:szCs w:val="32"/>
        </w:rPr>
        <w:t>收入支出总体与上年相比，增加22.45万元，增长9.85%，主要原因是：单位本年人员工资调增，相应人员工资、津贴补贴、奖金增加。</w:t>
      </w:r>
    </w:p>
    <w:p w14:paraId="10C82711">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98F61E2">
      <w:pPr>
        <w:ind w:firstLine="640" w:firstLineChars="200"/>
        <w:rPr>
          <w:rFonts w:ascii="仿宋_GB2312" w:eastAsia="仿宋_GB2312"/>
          <w:sz w:val="32"/>
          <w:szCs w:val="32"/>
        </w:rPr>
      </w:pPr>
      <w:r>
        <w:rPr>
          <w:rFonts w:hint="eastAsia" w:ascii="仿宋_GB2312" w:eastAsia="仿宋_GB2312"/>
          <w:sz w:val="32"/>
          <w:szCs w:val="32"/>
        </w:rPr>
        <w:t>本年收入250.27万元，其中：财政拨款收入250.27万元，占100.00%；上级补助收入0.00万元，占0.00%；事业收入0.00万元，占0.00%；经营收入0.00万元，占0.00%；附属单位上缴收入0.00万元，占0.00%；其他收入0.00万元，占0.00%。</w:t>
      </w:r>
    </w:p>
    <w:p w14:paraId="3CAB0979">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8972FCB">
      <w:pPr>
        <w:ind w:firstLine="640" w:firstLineChars="200"/>
        <w:rPr>
          <w:rFonts w:ascii="仿宋_GB2312" w:eastAsia="仿宋_GB2312"/>
          <w:sz w:val="32"/>
          <w:szCs w:val="32"/>
        </w:rPr>
      </w:pPr>
      <w:r>
        <w:rPr>
          <w:rFonts w:hint="eastAsia" w:ascii="仿宋_GB2312" w:eastAsia="仿宋_GB2312"/>
          <w:sz w:val="32"/>
          <w:szCs w:val="32"/>
        </w:rPr>
        <w:t>本年支出250.27万元，其中：基本支出250.27万元，占100.00%；项目支出0.00万元，占0.00%；上缴上级支出0.00万元，占0.00%；经营支出0.00万元，占0.00%；对附属单位补助支出0.00万元，占0.00%。</w:t>
      </w:r>
    </w:p>
    <w:p w14:paraId="2B11212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B3123DD">
      <w:pPr>
        <w:ind w:firstLine="640" w:firstLineChars="200"/>
        <w:rPr>
          <w:rFonts w:ascii="仿宋_GB2312" w:eastAsia="仿宋_GB2312"/>
          <w:sz w:val="32"/>
          <w:szCs w:val="32"/>
        </w:rPr>
      </w:pPr>
      <w:r>
        <w:rPr>
          <w:rFonts w:hint="eastAsia" w:ascii="仿宋_GB2312" w:eastAsia="仿宋_GB2312"/>
          <w:sz w:val="32"/>
          <w:szCs w:val="32"/>
        </w:rPr>
        <w:t>2023年度财政拨款收入总计250.27万元，其中：年初财政拨款结转和结余0.00万元，本年财政拨款收入250.27万元。财政拨款支出总计250.27万元，其中：年末财政拨款结转和结余0.00万元，本年财政拨款支出250.27万元。</w:t>
      </w:r>
    </w:p>
    <w:p w14:paraId="3739C18F">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22.45万元，增长9.85%,主要原因是：单位本年人员工资调增，相应人员工资、津贴补贴、奖金增加。与年初预算相比，年初预算数236.34万元，决算数250.27万元，预决算差异率5.89%，主要原因是：单位本年人员正常晋升，年中追加人员工资、津贴补贴、奖金等人员经费。</w:t>
      </w:r>
    </w:p>
    <w:p w14:paraId="3DC3507C">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8F36E1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DD3B91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250.27万元，占本年支出合计的100.00%。与上年相比，增加22.45万元，增长9.85%,主要原因是：单位本年人员工资调增，相应人员工资、津贴补贴、奖金增加。与年初预算相比，年初预算数236.34万元，决算数250.27万元，预决算差异率5.89%，主要原因是：单位本年人员正常晋升，年中追加人员工资、津贴补贴、奖金等人员经费。</w:t>
      </w:r>
    </w:p>
    <w:p w14:paraId="3E711C9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A763AE5">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37.42</w:t>
      </w:r>
      <w:r>
        <w:rPr>
          <w:rFonts w:ascii="仿宋_GB2312" w:eastAsia="仿宋_GB2312"/>
          <w:sz w:val="32"/>
          <w:szCs w:val="32"/>
        </w:rPr>
        <w:t>万元，占</w:t>
      </w:r>
      <w:r>
        <w:rPr>
          <w:rFonts w:hint="eastAsia" w:ascii="仿宋_GB2312" w:eastAsia="仿宋_GB2312"/>
          <w:sz w:val="32"/>
          <w:szCs w:val="32"/>
        </w:rPr>
        <w:t>14.95</w:t>
      </w:r>
      <w:r>
        <w:rPr>
          <w:rFonts w:ascii="仿宋_GB2312" w:eastAsia="仿宋_GB2312"/>
          <w:sz w:val="32"/>
          <w:szCs w:val="32"/>
        </w:rPr>
        <w:t>%；</w:t>
      </w:r>
    </w:p>
    <w:p w14:paraId="1E975BDA">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194.73</w:t>
      </w:r>
      <w:r>
        <w:rPr>
          <w:rFonts w:ascii="仿宋_GB2312" w:eastAsia="仿宋_GB2312"/>
          <w:sz w:val="32"/>
          <w:szCs w:val="32"/>
        </w:rPr>
        <w:t>万元，占</w:t>
      </w:r>
      <w:r>
        <w:rPr>
          <w:rFonts w:hint="eastAsia" w:ascii="仿宋_GB2312" w:eastAsia="仿宋_GB2312"/>
          <w:sz w:val="32"/>
          <w:szCs w:val="32"/>
        </w:rPr>
        <w:t>77.81</w:t>
      </w:r>
      <w:r>
        <w:rPr>
          <w:rFonts w:ascii="仿宋_GB2312" w:eastAsia="仿宋_GB2312"/>
          <w:sz w:val="32"/>
          <w:szCs w:val="32"/>
        </w:rPr>
        <w:t>%；</w:t>
      </w:r>
    </w:p>
    <w:p w14:paraId="6BD1054C">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18.12</w:t>
      </w:r>
      <w:r>
        <w:rPr>
          <w:rFonts w:ascii="仿宋_GB2312" w:eastAsia="仿宋_GB2312"/>
          <w:sz w:val="32"/>
          <w:szCs w:val="32"/>
        </w:rPr>
        <w:t>万元，占</w:t>
      </w:r>
      <w:r>
        <w:rPr>
          <w:rFonts w:hint="eastAsia" w:ascii="仿宋_GB2312" w:eastAsia="仿宋_GB2312"/>
          <w:sz w:val="32"/>
          <w:szCs w:val="32"/>
        </w:rPr>
        <w:t>7.24</w:t>
      </w:r>
      <w:r>
        <w:rPr>
          <w:rFonts w:ascii="仿宋_GB2312" w:eastAsia="仿宋_GB2312"/>
          <w:sz w:val="32"/>
          <w:szCs w:val="32"/>
        </w:rPr>
        <w:t>%</w:t>
      </w:r>
      <w:r>
        <w:rPr>
          <w:rFonts w:hint="eastAsia" w:ascii="仿宋_GB2312" w:eastAsia="仿宋_GB2312"/>
          <w:sz w:val="32"/>
          <w:szCs w:val="32"/>
        </w:rPr>
        <w:t>。</w:t>
      </w:r>
    </w:p>
    <w:p w14:paraId="4CC530B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3E9C859">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1.住房保障支出（类）住房改革支出（款）住房公积金（项）:支出决算数为18.12万元，比上年决算增加1.11万元，增长6.53%，主要原因是：单位本年人员工资调增，相应人员公积金缴费增加。</w:t>
      </w:r>
    </w:p>
    <w:p w14:paraId="7AB7D432">
      <w:pPr>
        <w:ind w:firstLine="640" w:firstLineChars="200"/>
        <w:rPr>
          <w:rFonts w:ascii="仿宋_GB2312" w:eastAsia="仿宋_GB2312"/>
          <w:sz w:val="32"/>
          <w:szCs w:val="32"/>
        </w:rPr>
      </w:pPr>
      <w:r>
        <w:rPr>
          <w:rFonts w:hint="eastAsia" w:ascii="仿宋_GB2312" w:eastAsia="仿宋_GB2312"/>
          <w:sz w:val="32"/>
          <w:szCs w:val="32"/>
        </w:rPr>
        <w:t>2.农林水支出（类）水利（款）水利工程运行与维护（项）:支出决算数为194.73万元，比上年决算增加4.57万元，增长2.40%，主要原因是：单位本年人员工资调增，相应人员工资、津贴补贴、奖金增加。</w:t>
      </w:r>
    </w:p>
    <w:p w14:paraId="79548882">
      <w:pPr>
        <w:ind w:firstLine="640" w:firstLineChars="200"/>
        <w:rPr>
          <w:rFonts w:ascii="仿宋_GB2312" w:eastAsia="仿宋_GB2312"/>
          <w:sz w:val="32"/>
          <w:szCs w:val="32"/>
        </w:rPr>
      </w:pPr>
      <w:r>
        <w:rPr>
          <w:rFonts w:hint="eastAsia" w:ascii="仿宋_GB2312" w:eastAsia="仿宋_GB2312"/>
          <w:sz w:val="32"/>
          <w:szCs w:val="32"/>
        </w:rPr>
        <w:t>3.社会保障和就业支出（类）抚恤（款）死亡抚恤（项）:支出决算数为10.56万元，比上年决算增加9.84万元，增长1,366.67%，主要原因是：单位本年人员丧葬费、抚恤金补助较上年增加。</w:t>
      </w:r>
    </w:p>
    <w:p w14:paraId="3B05D74B">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4.社会保障和就业支出（类）行政事业单位养老支出（款）事业单位离退休（项）:支出决算数为1.65万元，比上年决算增加1.06万元，增长179.66%，主要原因是：单位本年退休人员交通补助、取暖费增加。</w:t>
      </w:r>
    </w:p>
    <w:p w14:paraId="6A2119A8">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5.社会保障和就业支出（类）行政事业单位养老支出（款）机关事业单位职业年金缴费支出（项）:支出决算数为2.26万元，比上年决算增加2.26万元，增长100%，主要原因是：单位本年补缴以前年度职业年金费用。</w:t>
      </w:r>
    </w:p>
    <w:p w14:paraId="12E231D4">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22.95万元，比上年决算增加3.60万元，增长18.60%，主要原因是：单位本年人员工资调增，相应人员养老保险缴费增加。</w:t>
      </w:r>
    </w:p>
    <w:p w14:paraId="0A9E45C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4E843ED">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250.27万元，其中：人员经费244.68万元，包括：基本工资、津贴补贴、奖金、机关事业单位基本养老保险缴费、职业年金缴费、职工基本医疗保险缴费、其他社会保障缴费、住房公积金、退休费、抚恤金、生活补助、奖励金。</w:t>
      </w:r>
    </w:p>
    <w:p w14:paraId="6D9A47F2">
      <w:pPr>
        <w:ind w:firstLine="640" w:firstLineChars="200"/>
        <w:rPr>
          <w:rFonts w:ascii="仿宋_GB2312" w:eastAsia="仿宋_GB2312"/>
          <w:sz w:val="32"/>
          <w:szCs w:val="32"/>
        </w:rPr>
      </w:pPr>
      <w:r>
        <w:rPr>
          <w:rFonts w:hint="eastAsia" w:ascii="仿宋_GB2312" w:eastAsia="仿宋_GB2312"/>
          <w:sz w:val="32"/>
          <w:szCs w:val="32"/>
        </w:rPr>
        <w:t>公用经费5.59万元，包括：办公费、电费、邮电费、取暖费、工会经费。</w:t>
      </w:r>
    </w:p>
    <w:p w14:paraId="52C6F9E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66E482C">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3FD3825F">
      <w:pPr>
        <w:ind w:firstLine="640" w:firstLineChars="200"/>
        <w:rPr>
          <w:rFonts w:ascii="仿宋_GB2312" w:eastAsia="仿宋_GB2312"/>
          <w:sz w:val="32"/>
          <w:szCs w:val="32"/>
        </w:rPr>
      </w:pPr>
      <w:r>
        <w:rPr>
          <w:rFonts w:hint="eastAsia" w:ascii="仿宋_GB2312" w:eastAsia="仿宋_GB2312"/>
          <w:sz w:val="32"/>
          <w:szCs w:val="32"/>
        </w:rPr>
        <w:t>具体情况如下：</w:t>
      </w:r>
    </w:p>
    <w:p w14:paraId="303D4DCE">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3ADEA2C4">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辆，与公务用车保有量差异原因是：差异车辆为一般业务用车1辆，预算未安排公务用车运行维护费。</w:t>
      </w:r>
    </w:p>
    <w:p w14:paraId="0A170542">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0317677">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749A83A0">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1197BC8">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5CD923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9596E72">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D3FF106">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90E7F26">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C3093F8">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2023年度木垒哈萨克自治县农村水利技术服务站（事业单位）公用经费支出5.58万元，比上年增加1.93万元，增长52.88%，主要原因是：单位本年办公费、电费、邮电费、取暖费增加。</w:t>
      </w:r>
    </w:p>
    <w:p w14:paraId="4EA96FA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52D3C59">
      <w:pPr>
        <w:ind w:firstLine="640" w:firstLineChars="200"/>
        <w:rPr>
          <w:rFonts w:ascii="仿宋_GB2312" w:eastAsia="仿宋_GB2312"/>
          <w:sz w:val="32"/>
          <w:szCs w:val="32"/>
        </w:rPr>
      </w:pPr>
      <w:r>
        <w:rPr>
          <w:rFonts w:hint="eastAsia" w:ascii="仿宋_GB2312" w:eastAsia="仿宋_GB2312"/>
          <w:sz w:val="32"/>
          <w:szCs w:val="32"/>
        </w:rPr>
        <w:t>2023年度政府采购支出总额1.47万元，其中：政府采购货物支出0.60万元、政府采购工程支出0.00万元、政府采购服务支出0.87万元。</w:t>
      </w:r>
    </w:p>
    <w:p w14:paraId="437104A3">
      <w:pPr>
        <w:ind w:firstLine="640" w:firstLineChars="200"/>
        <w:rPr>
          <w:rFonts w:ascii="仿宋_GB2312" w:eastAsia="仿宋_GB2312"/>
          <w:sz w:val="32"/>
          <w:szCs w:val="32"/>
        </w:rPr>
      </w:pPr>
      <w:r>
        <w:rPr>
          <w:rFonts w:hint="eastAsia" w:ascii="仿宋_GB2312" w:eastAsia="仿宋_GB2312"/>
          <w:sz w:val="32"/>
          <w:szCs w:val="32"/>
        </w:rPr>
        <w:t>授予中小企业合同金额1.47万元，占政府采购支出总额的100.00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，其中：授予小微企业合同金额1.47万元，占政府采购支出总额的100.00</w:t>
      </w:r>
      <w:r>
        <w:rPr>
          <w:rFonts w:ascii="仿宋_GB2312" w:eastAsia="仿宋_GB2312"/>
          <w:sz w:val="32"/>
          <w:szCs w:val="32"/>
        </w:rPr>
        <w:t>%</w:t>
      </w:r>
      <w:r>
        <w:rPr>
          <w:rFonts w:hint="eastAsia" w:ascii="仿宋_GB2312" w:eastAsia="仿宋_GB2312"/>
          <w:sz w:val="32"/>
          <w:szCs w:val="32"/>
        </w:rPr>
        <w:t>。</w:t>
      </w:r>
    </w:p>
    <w:p w14:paraId="61CBC70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19FC510">
      <w:pPr>
        <w:ind w:firstLine="640" w:firstLineChars="200"/>
        <w:rPr>
          <w:rFonts w:ascii="仿宋_GB2312" w:eastAsia="仿宋_GB2312"/>
          <w:sz w:val="32"/>
          <w:szCs w:val="32"/>
        </w:rPr>
      </w:pPr>
      <w:r>
        <w:rPr>
          <w:rFonts w:hint="eastAsia" w:ascii="仿宋_GB2312" w:eastAsia="仿宋_GB2312"/>
          <w:sz w:val="32"/>
          <w:szCs w:val="32"/>
        </w:rPr>
        <w:t>截至2023年12月31日，固定资产原值58.42万元，房屋0.00平方米，价值0.00万元。车辆1辆，价值10.40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4957EF5F">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D86F351">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预算总额250.27万元，实际执行总额250.27万元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6"/>
        <w:gridCol w:w="1016"/>
        <w:gridCol w:w="816"/>
        <w:gridCol w:w="816"/>
        <w:gridCol w:w="1621"/>
        <w:gridCol w:w="813"/>
        <w:gridCol w:w="941"/>
        <w:gridCol w:w="683"/>
      </w:tblGrid>
      <w:tr w14:paraId="78FF5A37">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D0E4F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42CFC557">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734E2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4AF57A0">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7D267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1DD021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木垒哈萨克自治县农村水利技术服务站</w:t>
            </w:r>
          </w:p>
        </w:tc>
      </w:tr>
      <w:tr w14:paraId="13331611">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C16E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48AB2C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69E37B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0" w:type="auto"/>
            <w:tcBorders>
              <w:top w:val="nil"/>
              <w:left w:val="nil"/>
              <w:bottom w:val="single" w:color="auto" w:sz="4" w:space="0"/>
              <w:right w:val="single" w:color="auto" w:sz="4" w:space="0"/>
            </w:tcBorders>
            <w:shd w:val="clear" w:color="auto" w:fill="auto"/>
            <w:vAlign w:val="center"/>
          </w:tcPr>
          <w:p w14:paraId="56F2EC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787" w:type="dxa"/>
            <w:tcBorders>
              <w:top w:val="nil"/>
              <w:left w:val="nil"/>
              <w:bottom w:val="single" w:color="auto" w:sz="4" w:space="0"/>
              <w:right w:val="single" w:color="auto" w:sz="4" w:space="0"/>
            </w:tcBorders>
            <w:shd w:val="clear" w:color="auto" w:fill="auto"/>
            <w:vAlign w:val="center"/>
          </w:tcPr>
          <w:p w14:paraId="405C06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83" w:type="dxa"/>
            <w:tcBorders>
              <w:top w:val="nil"/>
              <w:left w:val="nil"/>
              <w:bottom w:val="single" w:color="auto" w:sz="4" w:space="0"/>
              <w:right w:val="single" w:color="auto" w:sz="4" w:space="0"/>
            </w:tcBorders>
            <w:shd w:val="clear" w:color="auto" w:fill="auto"/>
            <w:vAlign w:val="center"/>
          </w:tcPr>
          <w:p w14:paraId="256A33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71" w:type="dxa"/>
            <w:tcBorders>
              <w:top w:val="nil"/>
              <w:left w:val="nil"/>
              <w:bottom w:val="single" w:color="auto" w:sz="4" w:space="0"/>
              <w:right w:val="single" w:color="auto" w:sz="4" w:space="0"/>
            </w:tcBorders>
            <w:shd w:val="clear" w:color="auto" w:fill="auto"/>
            <w:vAlign w:val="center"/>
          </w:tcPr>
          <w:p w14:paraId="764E4C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34E012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189153A">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E241E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6807D9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1041D3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4865C3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787" w:type="dxa"/>
            <w:tcBorders>
              <w:top w:val="nil"/>
              <w:left w:val="nil"/>
              <w:bottom w:val="single" w:color="auto" w:sz="4" w:space="0"/>
              <w:right w:val="single" w:color="auto" w:sz="4" w:space="0"/>
            </w:tcBorders>
            <w:shd w:val="clear" w:color="auto" w:fill="auto"/>
            <w:vAlign w:val="center"/>
          </w:tcPr>
          <w:p w14:paraId="0306C9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3" w:type="dxa"/>
            <w:tcBorders>
              <w:top w:val="nil"/>
              <w:left w:val="nil"/>
              <w:bottom w:val="single" w:color="auto" w:sz="4" w:space="0"/>
              <w:right w:val="single" w:color="auto" w:sz="4" w:space="0"/>
            </w:tcBorders>
            <w:shd w:val="clear" w:color="auto" w:fill="auto"/>
            <w:vAlign w:val="center"/>
          </w:tcPr>
          <w:p w14:paraId="365C92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71" w:type="dxa"/>
            <w:tcBorders>
              <w:top w:val="nil"/>
              <w:left w:val="nil"/>
              <w:bottom w:val="single" w:color="auto" w:sz="4" w:space="0"/>
              <w:right w:val="single" w:color="auto" w:sz="4" w:space="0"/>
            </w:tcBorders>
            <w:shd w:val="clear" w:color="auto" w:fill="auto"/>
            <w:vAlign w:val="center"/>
          </w:tcPr>
          <w:p w14:paraId="186486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63835C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CB30AA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001AC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60F18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3C3C52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714360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787" w:type="dxa"/>
            <w:tcBorders>
              <w:top w:val="nil"/>
              <w:left w:val="nil"/>
              <w:bottom w:val="single" w:color="auto" w:sz="4" w:space="0"/>
              <w:right w:val="single" w:color="auto" w:sz="4" w:space="0"/>
            </w:tcBorders>
            <w:shd w:val="clear" w:color="auto" w:fill="auto"/>
            <w:vAlign w:val="center"/>
          </w:tcPr>
          <w:p w14:paraId="40E23F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3" w:type="dxa"/>
            <w:tcBorders>
              <w:top w:val="nil"/>
              <w:left w:val="nil"/>
              <w:bottom w:val="single" w:color="auto" w:sz="4" w:space="0"/>
              <w:right w:val="single" w:color="auto" w:sz="4" w:space="0"/>
            </w:tcBorders>
            <w:shd w:val="clear" w:color="auto" w:fill="auto"/>
            <w:vAlign w:val="center"/>
          </w:tcPr>
          <w:p w14:paraId="42A7DE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3D077E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387D2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760CF45">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BACE35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2995F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710049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331288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787" w:type="dxa"/>
            <w:tcBorders>
              <w:top w:val="nil"/>
              <w:left w:val="nil"/>
              <w:bottom w:val="single" w:color="auto" w:sz="4" w:space="0"/>
              <w:right w:val="single" w:color="auto" w:sz="4" w:space="0"/>
            </w:tcBorders>
            <w:shd w:val="clear" w:color="auto" w:fill="auto"/>
            <w:vAlign w:val="center"/>
          </w:tcPr>
          <w:p w14:paraId="68F869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3" w:type="dxa"/>
            <w:tcBorders>
              <w:top w:val="nil"/>
              <w:left w:val="nil"/>
              <w:bottom w:val="single" w:color="auto" w:sz="4" w:space="0"/>
              <w:right w:val="single" w:color="auto" w:sz="4" w:space="0"/>
            </w:tcBorders>
            <w:shd w:val="clear" w:color="auto" w:fill="auto"/>
            <w:vAlign w:val="center"/>
          </w:tcPr>
          <w:p w14:paraId="1D01A1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62A5DB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FDAC9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954811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FC5D1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78BF8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7FD1A1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236.34</w:t>
            </w:r>
          </w:p>
        </w:tc>
        <w:tc>
          <w:tcPr>
            <w:tcW w:w="0" w:type="auto"/>
            <w:tcBorders>
              <w:top w:val="nil"/>
              <w:left w:val="nil"/>
              <w:bottom w:val="single" w:color="auto" w:sz="4" w:space="0"/>
              <w:right w:val="single" w:color="auto" w:sz="4" w:space="0"/>
            </w:tcBorders>
            <w:shd w:val="clear" w:color="auto" w:fill="auto"/>
            <w:vAlign w:val="center"/>
          </w:tcPr>
          <w:p w14:paraId="283FEC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250.27</w:t>
            </w:r>
          </w:p>
        </w:tc>
        <w:tc>
          <w:tcPr>
            <w:tcW w:w="1787" w:type="dxa"/>
            <w:tcBorders>
              <w:top w:val="nil"/>
              <w:left w:val="nil"/>
              <w:bottom w:val="single" w:color="auto" w:sz="4" w:space="0"/>
              <w:right w:val="single" w:color="auto" w:sz="4" w:space="0"/>
            </w:tcBorders>
            <w:shd w:val="clear" w:color="auto" w:fill="auto"/>
            <w:vAlign w:val="center"/>
          </w:tcPr>
          <w:p w14:paraId="3767A8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250.27</w:t>
            </w:r>
          </w:p>
        </w:tc>
        <w:tc>
          <w:tcPr>
            <w:tcW w:w="883" w:type="dxa"/>
            <w:tcBorders>
              <w:top w:val="nil"/>
              <w:left w:val="nil"/>
              <w:bottom w:val="single" w:color="auto" w:sz="4" w:space="0"/>
              <w:right w:val="single" w:color="auto" w:sz="4" w:space="0"/>
            </w:tcBorders>
            <w:shd w:val="clear" w:color="auto" w:fill="auto"/>
            <w:vAlign w:val="center"/>
          </w:tcPr>
          <w:p w14:paraId="1EBBEA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2A1365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532CF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5164EA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9E9709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B9199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3BBE00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0" w:type="auto"/>
            <w:tcBorders>
              <w:top w:val="nil"/>
              <w:left w:val="nil"/>
              <w:bottom w:val="single" w:color="auto" w:sz="4" w:space="0"/>
              <w:right w:val="single" w:color="auto" w:sz="4" w:space="0"/>
            </w:tcBorders>
            <w:shd w:val="clear" w:color="auto" w:fill="auto"/>
            <w:vAlign w:val="center"/>
          </w:tcPr>
          <w:p w14:paraId="0336AA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787" w:type="dxa"/>
            <w:tcBorders>
              <w:top w:val="nil"/>
              <w:left w:val="nil"/>
              <w:bottom w:val="single" w:color="auto" w:sz="4" w:space="0"/>
              <w:right w:val="single" w:color="auto" w:sz="4" w:space="0"/>
            </w:tcBorders>
            <w:shd w:val="clear" w:color="auto" w:fill="auto"/>
            <w:vAlign w:val="center"/>
          </w:tcPr>
          <w:p w14:paraId="6343CD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3" w:type="dxa"/>
            <w:tcBorders>
              <w:top w:val="nil"/>
              <w:left w:val="nil"/>
              <w:bottom w:val="single" w:color="auto" w:sz="4" w:space="0"/>
              <w:right w:val="single" w:color="auto" w:sz="4" w:space="0"/>
            </w:tcBorders>
            <w:shd w:val="clear" w:color="auto" w:fill="auto"/>
            <w:vAlign w:val="center"/>
          </w:tcPr>
          <w:p w14:paraId="3B22E2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444A18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99430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6537E16">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3D3816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41843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01E751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236.34</w:t>
            </w:r>
          </w:p>
        </w:tc>
        <w:tc>
          <w:tcPr>
            <w:tcW w:w="0" w:type="auto"/>
            <w:tcBorders>
              <w:top w:val="nil"/>
              <w:left w:val="nil"/>
              <w:bottom w:val="single" w:color="auto" w:sz="4" w:space="0"/>
              <w:right w:val="single" w:color="auto" w:sz="4" w:space="0"/>
            </w:tcBorders>
            <w:shd w:val="clear" w:color="auto" w:fill="auto"/>
            <w:vAlign w:val="center"/>
          </w:tcPr>
          <w:p w14:paraId="221C55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250.27</w:t>
            </w:r>
          </w:p>
        </w:tc>
        <w:tc>
          <w:tcPr>
            <w:tcW w:w="1787" w:type="dxa"/>
            <w:tcBorders>
              <w:top w:val="nil"/>
              <w:left w:val="nil"/>
              <w:bottom w:val="single" w:color="auto" w:sz="4" w:space="0"/>
              <w:right w:val="single" w:color="auto" w:sz="4" w:space="0"/>
            </w:tcBorders>
            <w:shd w:val="clear" w:color="auto" w:fill="auto"/>
            <w:vAlign w:val="center"/>
          </w:tcPr>
          <w:p w14:paraId="3410C4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250.27</w:t>
            </w:r>
          </w:p>
        </w:tc>
        <w:tc>
          <w:tcPr>
            <w:tcW w:w="883" w:type="dxa"/>
            <w:tcBorders>
              <w:top w:val="nil"/>
              <w:left w:val="nil"/>
              <w:bottom w:val="single" w:color="auto" w:sz="4" w:space="0"/>
              <w:right w:val="single" w:color="auto" w:sz="4" w:space="0"/>
            </w:tcBorders>
            <w:shd w:val="clear" w:color="auto" w:fill="auto"/>
            <w:vAlign w:val="center"/>
          </w:tcPr>
          <w:p w14:paraId="024648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5D559B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82BE0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677A3F0">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8D0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6EF76B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24EE56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1EAA0041">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6D91B70">
            <w:pPr>
              <w:widowControl/>
              <w:jc w:val="left"/>
              <w:rPr>
                <w:rFonts w:hint="eastAsia" w:cs="宋体" w:asciiTheme="minorEastAsia" w:hAnsiTheme="minorEastAsia" w:eastAsiaTheme="minorEastAsia"/>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21FE44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目标1：做好水利工程建设项目的规划，勘测工作10次以上。目标2：做好水利工程项目建设的技术指导和质量监督12次以上，做好结算验收。目标3：做好全县水利工程基础资料的填报工作。</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329F27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整体自评，我单位已完成如下工作：我单位2023年度已完成水利工程建设项目的规划，勘测工作10次以上。已完成水利工程项目建设的技术指导和质量监督12次以上，做好结算验收，保障单位人员数量13人。已完成全县水利工程基础资料的填报工作。</w:t>
            </w:r>
          </w:p>
        </w:tc>
      </w:tr>
      <w:tr w14:paraId="207B4B8B">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D891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616538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032BE9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14:paraId="4696D1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787" w:type="dxa"/>
            <w:tcBorders>
              <w:top w:val="nil"/>
              <w:left w:val="nil"/>
              <w:bottom w:val="single" w:color="auto" w:sz="4" w:space="0"/>
              <w:right w:val="single" w:color="auto" w:sz="4" w:space="0"/>
            </w:tcBorders>
            <w:shd w:val="clear" w:color="auto" w:fill="auto"/>
            <w:vAlign w:val="center"/>
          </w:tcPr>
          <w:p w14:paraId="2300A0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83" w:type="dxa"/>
            <w:tcBorders>
              <w:top w:val="nil"/>
              <w:left w:val="nil"/>
              <w:bottom w:val="single" w:color="auto" w:sz="4" w:space="0"/>
              <w:right w:val="single" w:color="auto" w:sz="4" w:space="0"/>
            </w:tcBorders>
            <w:shd w:val="clear" w:color="auto" w:fill="auto"/>
            <w:vAlign w:val="center"/>
          </w:tcPr>
          <w:p w14:paraId="6A14AE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71" w:type="dxa"/>
            <w:tcBorders>
              <w:top w:val="nil"/>
              <w:left w:val="nil"/>
              <w:bottom w:val="single" w:color="auto" w:sz="4" w:space="0"/>
              <w:right w:val="single" w:color="auto" w:sz="4" w:space="0"/>
            </w:tcBorders>
            <w:shd w:val="clear" w:color="auto" w:fill="auto"/>
            <w:vAlign w:val="center"/>
          </w:tcPr>
          <w:p w14:paraId="367496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31D055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3DC4628">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0DCC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D7746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14:paraId="13C6DE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保障单位人员数量</w:t>
            </w:r>
          </w:p>
        </w:tc>
        <w:tc>
          <w:tcPr>
            <w:tcW w:w="0" w:type="auto"/>
            <w:tcBorders>
              <w:top w:val="nil"/>
              <w:left w:val="nil"/>
              <w:bottom w:val="single" w:color="auto" w:sz="4" w:space="0"/>
              <w:right w:val="single" w:color="auto" w:sz="4" w:space="0"/>
            </w:tcBorders>
            <w:shd w:val="clear" w:color="auto" w:fill="auto"/>
            <w:vAlign w:val="center"/>
          </w:tcPr>
          <w:p w14:paraId="4F6016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&gt;=13人</w:t>
            </w:r>
          </w:p>
        </w:tc>
        <w:tc>
          <w:tcPr>
            <w:tcW w:w="1787" w:type="dxa"/>
            <w:tcBorders>
              <w:top w:val="nil"/>
              <w:left w:val="nil"/>
              <w:bottom w:val="single" w:color="auto" w:sz="4" w:space="0"/>
              <w:right w:val="single" w:color="auto" w:sz="4" w:space="0"/>
            </w:tcBorders>
            <w:shd w:val="clear" w:color="auto" w:fill="auto"/>
            <w:vAlign w:val="center"/>
          </w:tcPr>
          <w:p w14:paraId="34466D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木垒哈萨克自治县水利局职能配置、内设机构和人员编制规定</w:t>
            </w:r>
          </w:p>
        </w:tc>
        <w:tc>
          <w:tcPr>
            <w:tcW w:w="883" w:type="dxa"/>
            <w:tcBorders>
              <w:top w:val="nil"/>
              <w:left w:val="nil"/>
              <w:bottom w:val="single" w:color="auto" w:sz="4" w:space="0"/>
              <w:right w:val="single" w:color="auto" w:sz="4" w:space="0"/>
            </w:tcBorders>
            <w:shd w:val="clear" w:color="auto" w:fill="auto"/>
            <w:vAlign w:val="center"/>
          </w:tcPr>
          <w:p w14:paraId="0CE8D2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71" w:type="dxa"/>
            <w:tcBorders>
              <w:top w:val="nil"/>
              <w:left w:val="nil"/>
              <w:bottom w:val="single" w:color="auto" w:sz="4" w:space="0"/>
              <w:right w:val="single" w:color="auto" w:sz="4" w:space="0"/>
            </w:tcBorders>
            <w:shd w:val="clear" w:color="auto" w:fill="auto"/>
            <w:vAlign w:val="center"/>
          </w:tcPr>
          <w:p w14:paraId="5AD1A2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13人</w:t>
            </w:r>
          </w:p>
        </w:tc>
        <w:tc>
          <w:tcPr>
            <w:tcW w:w="617" w:type="dxa"/>
            <w:tcBorders>
              <w:top w:val="nil"/>
              <w:left w:val="nil"/>
              <w:bottom w:val="single" w:color="auto" w:sz="4" w:space="0"/>
              <w:right w:val="single" w:color="auto" w:sz="4" w:space="0"/>
            </w:tcBorders>
            <w:shd w:val="clear" w:color="auto" w:fill="auto"/>
            <w:vAlign w:val="center"/>
          </w:tcPr>
          <w:p w14:paraId="375FDE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6E5EF33">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7C61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12B50D7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6D18C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对辖区可能存在的安全隐患和薄弱环节进行全面排查</w:t>
            </w:r>
          </w:p>
        </w:tc>
        <w:tc>
          <w:tcPr>
            <w:tcW w:w="0" w:type="auto"/>
            <w:tcBorders>
              <w:top w:val="nil"/>
              <w:left w:val="nil"/>
              <w:bottom w:val="single" w:color="auto" w:sz="4" w:space="0"/>
              <w:right w:val="single" w:color="auto" w:sz="4" w:space="0"/>
            </w:tcBorders>
            <w:shd w:val="clear" w:color="auto" w:fill="auto"/>
            <w:vAlign w:val="center"/>
          </w:tcPr>
          <w:p w14:paraId="7011A6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787" w:type="dxa"/>
            <w:tcBorders>
              <w:top w:val="nil"/>
              <w:left w:val="nil"/>
              <w:bottom w:val="single" w:color="auto" w:sz="4" w:space="0"/>
              <w:right w:val="single" w:color="auto" w:sz="4" w:space="0"/>
            </w:tcBorders>
            <w:shd w:val="clear" w:color="auto" w:fill="auto"/>
            <w:vAlign w:val="center"/>
          </w:tcPr>
          <w:p w14:paraId="7036D7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木垒县农村水利技术服务站2023年工作计划</w:t>
            </w:r>
          </w:p>
        </w:tc>
        <w:tc>
          <w:tcPr>
            <w:tcW w:w="883" w:type="dxa"/>
            <w:tcBorders>
              <w:top w:val="nil"/>
              <w:left w:val="nil"/>
              <w:bottom w:val="single" w:color="auto" w:sz="4" w:space="0"/>
              <w:right w:val="single" w:color="auto" w:sz="4" w:space="0"/>
            </w:tcBorders>
            <w:shd w:val="clear" w:color="auto" w:fill="auto"/>
            <w:vAlign w:val="center"/>
          </w:tcPr>
          <w:p w14:paraId="02E452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771" w:type="dxa"/>
            <w:tcBorders>
              <w:top w:val="nil"/>
              <w:left w:val="nil"/>
              <w:bottom w:val="single" w:color="auto" w:sz="4" w:space="0"/>
              <w:right w:val="single" w:color="auto" w:sz="4" w:space="0"/>
            </w:tcBorders>
            <w:shd w:val="clear" w:color="auto" w:fill="auto"/>
            <w:vAlign w:val="center"/>
          </w:tcPr>
          <w:p w14:paraId="0C41D2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617" w:type="dxa"/>
            <w:tcBorders>
              <w:top w:val="nil"/>
              <w:left w:val="nil"/>
              <w:bottom w:val="single" w:color="auto" w:sz="4" w:space="0"/>
              <w:right w:val="single" w:color="auto" w:sz="4" w:space="0"/>
            </w:tcBorders>
            <w:shd w:val="clear" w:color="auto" w:fill="auto"/>
            <w:vAlign w:val="center"/>
          </w:tcPr>
          <w:p w14:paraId="54283E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1A10481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163E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165C75E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424F1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水利工作指导检查数量</w:t>
            </w:r>
          </w:p>
        </w:tc>
        <w:tc>
          <w:tcPr>
            <w:tcW w:w="0" w:type="auto"/>
            <w:tcBorders>
              <w:top w:val="nil"/>
              <w:left w:val="nil"/>
              <w:bottom w:val="single" w:color="auto" w:sz="4" w:space="0"/>
              <w:right w:val="single" w:color="auto" w:sz="4" w:space="0"/>
            </w:tcBorders>
            <w:shd w:val="clear" w:color="auto" w:fill="auto"/>
            <w:vAlign w:val="center"/>
          </w:tcPr>
          <w:p w14:paraId="48580E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787" w:type="dxa"/>
            <w:tcBorders>
              <w:top w:val="nil"/>
              <w:left w:val="nil"/>
              <w:bottom w:val="single" w:color="auto" w:sz="4" w:space="0"/>
              <w:right w:val="single" w:color="auto" w:sz="4" w:space="0"/>
            </w:tcBorders>
            <w:shd w:val="clear" w:color="auto" w:fill="auto"/>
            <w:vAlign w:val="center"/>
          </w:tcPr>
          <w:p w14:paraId="75322F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木垒县农村水利技术服务站2023年工作计划</w:t>
            </w:r>
          </w:p>
        </w:tc>
        <w:tc>
          <w:tcPr>
            <w:tcW w:w="883" w:type="dxa"/>
            <w:tcBorders>
              <w:top w:val="nil"/>
              <w:left w:val="nil"/>
              <w:bottom w:val="single" w:color="auto" w:sz="4" w:space="0"/>
              <w:right w:val="single" w:color="auto" w:sz="4" w:space="0"/>
            </w:tcBorders>
            <w:shd w:val="clear" w:color="auto" w:fill="auto"/>
            <w:vAlign w:val="center"/>
          </w:tcPr>
          <w:p w14:paraId="216768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771" w:type="dxa"/>
            <w:tcBorders>
              <w:top w:val="nil"/>
              <w:left w:val="nil"/>
              <w:bottom w:val="single" w:color="auto" w:sz="4" w:space="0"/>
              <w:right w:val="single" w:color="auto" w:sz="4" w:space="0"/>
            </w:tcBorders>
            <w:shd w:val="clear" w:color="auto" w:fill="auto"/>
            <w:vAlign w:val="center"/>
          </w:tcPr>
          <w:p w14:paraId="173333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617" w:type="dxa"/>
            <w:tcBorders>
              <w:top w:val="nil"/>
              <w:left w:val="nil"/>
              <w:bottom w:val="single" w:color="auto" w:sz="4" w:space="0"/>
              <w:right w:val="single" w:color="auto" w:sz="4" w:space="0"/>
            </w:tcBorders>
            <w:shd w:val="clear" w:color="auto" w:fill="auto"/>
            <w:vAlign w:val="center"/>
          </w:tcPr>
          <w:p w14:paraId="2239AF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62CC3184">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AA06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continue"/>
            <w:tcBorders>
              <w:top w:val="nil"/>
              <w:left w:val="single" w:color="auto" w:sz="4" w:space="0"/>
              <w:bottom w:val="single" w:color="auto" w:sz="4" w:space="0"/>
              <w:right w:val="single" w:color="auto" w:sz="4" w:space="0"/>
            </w:tcBorders>
            <w:vAlign w:val="center"/>
          </w:tcPr>
          <w:p w14:paraId="7EBF918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63FE4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水利工程勘测次数</w:t>
            </w:r>
          </w:p>
        </w:tc>
        <w:tc>
          <w:tcPr>
            <w:tcW w:w="0" w:type="auto"/>
            <w:tcBorders>
              <w:top w:val="nil"/>
              <w:left w:val="nil"/>
              <w:bottom w:val="single" w:color="auto" w:sz="4" w:space="0"/>
              <w:right w:val="single" w:color="auto" w:sz="4" w:space="0"/>
            </w:tcBorders>
            <w:shd w:val="clear" w:color="auto" w:fill="auto"/>
            <w:vAlign w:val="center"/>
          </w:tcPr>
          <w:p w14:paraId="2C31D7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1787" w:type="dxa"/>
            <w:tcBorders>
              <w:top w:val="nil"/>
              <w:left w:val="nil"/>
              <w:bottom w:val="single" w:color="auto" w:sz="4" w:space="0"/>
              <w:right w:val="single" w:color="auto" w:sz="4" w:space="0"/>
            </w:tcBorders>
            <w:shd w:val="clear" w:color="auto" w:fill="auto"/>
            <w:vAlign w:val="center"/>
          </w:tcPr>
          <w:p w14:paraId="0F1468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木垒县农村水利技术服务站2023年工作计划</w:t>
            </w:r>
          </w:p>
        </w:tc>
        <w:tc>
          <w:tcPr>
            <w:tcW w:w="883" w:type="dxa"/>
            <w:tcBorders>
              <w:top w:val="nil"/>
              <w:left w:val="nil"/>
              <w:bottom w:val="single" w:color="auto" w:sz="4" w:space="0"/>
              <w:right w:val="single" w:color="auto" w:sz="4" w:space="0"/>
            </w:tcBorders>
            <w:shd w:val="clear" w:color="auto" w:fill="auto"/>
            <w:vAlign w:val="center"/>
          </w:tcPr>
          <w:p w14:paraId="1D0B91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771" w:type="dxa"/>
            <w:tcBorders>
              <w:top w:val="nil"/>
              <w:left w:val="nil"/>
              <w:bottom w:val="single" w:color="auto" w:sz="4" w:space="0"/>
              <w:right w:val="single" w:color="auto" w:sz="4" w:space="0"/>
            </w:tcBorders>
            <w:shd w:val="clear" w:color="auto" w:fill="auto"/>
            <w:vAlign w:val="center"/>
          </w:tcPr>
          <w:p w14:paraId="5FDF06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617" w:type="dxa"/>
            <w:tcBorders>
              <w:top w:val="nil"/>
              <w:left w:val="nil"/>
              <w:bottom w:val="single" w:color="auto" w:sz="4" w:space="0"/>
              <w:right w:val="single" w:color="auto" w:sz="4" w:space="0"/>
            </w:tcBorders>
            <w:shd w:val="clear" w:color="auto" w:fill="auto"/>
            <w:vAlign w:val="center"/>
          </w:tcPr>
          <w:p w14:paraId="09FA4F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0D7F72BD">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E9470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vAlign w:val="center"/>
          </w:tcPr>
          <w:p w14:paraId="2FB5F0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14:paraId="71C72A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水利工作检查覆盖率</w:t>
            </w:r>
          </w:p>
        </w:tc>
        <w:tc>
          <w:tcPr>
            <w:tcW w:w="0" w:type="auto"/>
            <w:tcBorders>
              <w:top w:val="nil"/>
              <w:left w:val="nil"/>
              <w:bottom w:val="single" w:color="auto" w:sz="4" w:space="0"/>
              <w:right w:val="single" w:color="auto" w:sz="4" w:space="0"/>
            </w:tcBorders>
            <w:shd w:val="clear" w:color="auto" w:fill="auto"/>
            <w:vAlign w:val="center"/>
          </w:tcPr>
          <w:p w14:paraId="00B322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&gt;=98%</w:t>
            </w:r>
          </w:p>
        </w:tc>
        <w:tc>
          <w:tcPr>
            <w:tcW w:w="1787" w:type="dxa"/>
            <w:tcBorders>
              <w:top w:val="nil"/>
              <w:left w:val="nil"/>
              <w:bottom w:val="single" w:color="auto" w:sz="4" w:space="0"/>
              <w:right w:val="single" w:color="auto" w:sz="4" w:space="0"/>
            </w:tcBorders>
            <w:shd w:val="clear" w:color="auto" w:fill="auto"/>
            <w:vAlign w:val="center"/>
          </w:tcPr>
          <w:p w14:paraId="734C4F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木垒县农村水利技术服务站2023年工作计划</w:t>
            </w:r>
          </w:p>
        </w:tc>
        <w:tc>
          <w:tcPr>
            <w:tcW w:w="883" w:type="dxa"/>
            <w:tcBorders>
              <w:top w:val="nil"/>
              <w:left w:val="nil"/>
              <w:bottom w:val="single" w:color="auto" w:sz="4" w:space="0"/>
              <w:right w:val="single" w:color="auto" w:sz="4" w:space="0"/>
            </w:tcBorders>
            <w:shd w:val="clear" w:color="auto" w:fill="auto"/>
            <w:vAlign w:val="center"/>
          </w:tcPr>
          <w:p w14:paraId="518626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771" w:type="dxa"/>
            <w:tcBorders>
              <w:top w:val="nil"/>
              <w:left w:val="nil"/>
              <w:bottom w:val="single" w:color="auto" w:sz="4" w:space="0"/>
              <w:right w:val="single" w:color="auto" w:sz="4" w:space="0"/>
            </w:tcBorders>
            <w:shd w:val="clear" w:color="auto" w:fill="auto"/>
            <w:vAlign w:val="center"/>
          </w:tcPr>
          <w:p w14:paraId="22762D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98%</w:t>
            </w:r>
          </w:p>
        </w:tc>
        <w:tc>
          <w:tcPr>
            <w:tcW w:w="617" w:type="dxa"/>
            <w:tcBorders>
              <w:top w:val="nil"/>
              <w:left w:val="nil"/>
              <w:bottom w:val="single" w:color="auto" w:sz="4" w:space="0"/>
              <w:right w:val="single" w:color="auto" w:sz="4" w:space="0"/>
            </w:tcBorders>
            <w:shd w:val="clear" w:color="auto" w:fill="auto"/>
            <w:vAlign w:val="center"/>
          </w:tcPr>
          <w:p w14:paraId="2AB8C5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441FFFF4">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617F3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vAlign w:val="center"/>
          </w:tcPr>
          <w:p w14:paraId="50598664">
            <w:pPr>
              <w:widowControl/>
              <w:jc w:val="center"/>
              <w:rPr>
                <w:rFonts w:hint="eastAsia" w:cs="宋体" w:asciiTheme="minorEastAsia" w:hAnsiTheme="minorEastAsia" w:eastAsiaTheme="minorEastAsia"/>
                <w:kern w:val="0"/>
                <w:sz w:val="20"/>
                <w:szCs w:val="20"/>
              </w:rPr>
            </w:pPr>
            <w:bookmarkStart w:id="48" w:name="_GoBack"/>
            <w:bookmarkEnd w:id="48"/>
          </w:p>
        </w:tc>
        <w:tc>
          <w:tcPr>
            <w:tcW w:w="0" w:type="auto"/>
            <w:tcBorders>
              <w:top w:val="nil"/>
              <w:left w:val="nil"/>
              <w:bottom w:val="single" w:color="auto" w:sz="4" w:space="0"/>
              <w:right w:val="single" w:color="auto" w:sz="4" w:space="0"/>
            </w:tcBorders>
            <w:shd w:val="clear" w:color="auto" w:fill="auto"/>
            <w:vAlign w:val="center"/>
          </w:tcPr>
          <w:p w14:paraId="15859375">
            <w:pPr>
              <w:widowControl/>
              <w:jc w:val="center"/>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0769CE9">
            <w:pPr>
              <w:widowControl/>
              <w:jc w:val="center"/>
              <w:rPr>
                <w:rFonts w:hint="eastAsia" w:cs="宋体" w:asciiTheme="minorEastAsia" w:hAnsiTheme="minorEastAsia" w:eastAsiaTheme="minorEastAsia"/>
                <w:kern w:val="0"/>
                <w:sz w:val="20"/>
                <w:szCs w:val="20"/>
              </w:rPr>
            </w:pPr>
          </w:p>
        </w:tc>
        <w:tc>
          <w:tcPr>
            <w:tcW w:w="1787" w:type="dxa"/>
            <w:tcBorders>
              <w:top w:val="nil"/>
              <w:left w:val="nil"/>
              <w:bottom w:val="single" w:color="auto" w:sz="4" w:space="0"/>
              <w:right w:val="single" w:color="auto" w:sz="4" w:space="0"/>
            </w:tcBorders>
            <w:shd w:val="clear" w:color="auto" w:fill="auto"/>
            <w:vAlign w:val="center"/>
          </w:tcPr>
          <w:p w14:paraId="216E7355">
            <w:pPr>
              <w:widowControl/>
              <w:jc w:val="center"/>
              <w:rPr>
                <w:rFonts w:hint="eastAsia" w:cs="宋体" w:asciiTheme="minorEastAsia" w:hAnsiTheme="minorEastAsia" w:eastAsiaTheme="minorEastAsia"/>
                <w:kern w:val="0"/>
                <w:sz w:val="20"/>
                <w:szCs w:val="20"/>
              </w:rPr>
            </w:pPr>
          </w:p>
        </w:tc>
        <w:tc>
          <w:tcPr>
            <w:tcW w:w="883" w:type="dxa"/>
            <w:tcBorders>
              <w:top w:val="nil"/>
              <w:left w:val="nil"/>
              <w:bottom w:val="single" w:color="auto" w:sz="4" w:space="0"/>
              <w:right w:val="single" w:color="auto" w:sz="4" w:space="0"/>
            </w:tcBorders>
            <w:shd w:val="clear" w:color="auto" w:fill="auto"/>
            <w:vAlign w:val="center"/>
          </w:tcPr>
          <w:p w14:paraId="254B51CE">
            <w:pPr>
              <w:widowControl/>
              <w:jc w:val="center"/>
              <w:rPr>
                <w:rFonts w:hint="eastAsia" w:cs="宋体" w:asciiTheme="minorEastAsia" w:hAnsiTheme="minorEastAsia" w:eastAsiaTheme="minorEastAsia"/>
                <w:kern w:val="0"/>
                <w:sz w:val="20"/>
                <w:szCs w:val="20"/>
              </w:rPr>
            </w:pPr>
          </w:p>
        </w:tc>
        <w:tc>
          <w:tcPr>
            <w:tcW w:w="771" w:type="dxa"/>
            <w:tcBorders>
              <w:top w:val="nil"/>
              <w:left w:val="nil"/>
              <w:bottom w:val="single" w:color="auto" w:sz="4" w:space="0"/>
              <w:right w:val="single" w:color="auto" w:sz="4" w:space="0"/>
            </w:tcBorders>
            <w:shd w:val="clear" w:color="auto" w:fill="auto"/>
            <w:vAlign w:val="center"/>
          </w:tcPr>
          <w:p w14:paraId="558E2214">
            <w:pPr>
              <w:widowControl/>
              <w:jc w:val="center"/>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vAlign w:val="center"/>
          </w:tcPr>
          <w:p w14:paraId="48BE35BA">
            <w:pPr>
              <w:widowControl/>
              <w:jc w:val="center"/>
              <w:rPr>
                <w:rFonts w:hint="eastAsia" w:cs="宋体" w:asciiTheme="minorEastAsia" w:hAnsiTheme="minorEastAsia" w:eastAsiaTheme="minorEastAsia"/>
                <w:kern w:val="0"/>
                <w:sz w:val="20"/>
                <w:szCs w:val="20"/>
              </w:rPr>
            </w:pPr>
          </w:p>
        </w:tc>
      </w:tr>
    </w:tbl>
    <w:p w14:paraId="34D9169B">
      <w:pPr>
        <w:jc w:val="left"/>
        <w:rPr>
          <w:rFonts w:ascii="仿宋_GB2312" w:eastAsia="仿宋_GB2312"/>
          <w:sz w:val="32"/>
          <w:szCs w:val="32"/>
        </w:rPr>
      </w:pPr>
    </w:p>
    <w:p w14:paraId="75C439F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3F1C554">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8EFB7C1">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F6930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1753E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9F5B08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18133D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4AE4C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DBD31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E1BCE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BC8E99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B5AF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60D43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5E691D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76598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C5530C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3D775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01758A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AB0228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2289F0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B69CC86">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4D8099F">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EF5E38A">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A27099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46A895C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C864FDA">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7B23B4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B981D61">
      <w:pPr>
        <w:ind w:firstLine="640" w:firstLineChars="200"/>
        <w:rPr>
          <w:rFonts w:ascii="仿宋_GB2312" w:eastAsia="仿宋_GB2312"/>
          <w:sz w:val="32"/>
          <w:szCs w:val="32"/>
        </w:rPr>
      </w:pPr>
    </w:p>
    <w:p w14:paraId="45ABFA3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D86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79AAC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F79AAC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3D50EB"/>
    <w:rsid w:val="0005236B"/>
    <w:rsid w:val="00213C59"/>
    <w:rsid w:val="002236ED"/>
    <w:rsid w:val="003210CE"/>
    <w:rsid w:val="00366F54"/>
    <w:rsid w:val="003D50EB"/>
    <w:rsid w:val="004C0ECC"/>
    <w:rsid w:val="00614112"/>
    <w:rsid w:val="007130F8"/>
    <w:rsid w:val="007A114C"/>
    <w:rsid w:val="008A7782"/>
    <w:rsid w:val="009D72B1"/>
    <w:rsid w:val="00A91DB5"/>
    <w:rsid w:val="00AA09BF"/>
    <w:rsid w:val="00AE6943"/>
    <w:rsid w:val="00B70D59"/>
    <w:rsid w:val="00C36A87"/>
    <w:rsid w:val="00C43C0B"/>
    <w:rsid w:val="00C57A48"/>
    <w:rsid w:val="00C90217"/>
    <w:rsid w:val="00C933AB"/>
    <w:rsid w:val="00D202D5"/>
    <w:rsid w:val="00D93EB3"/>
    <w:rsid w:val="00E7038C"/>
    <w:rsid w:val="00EB28EF"/>
    <w:rsid w:val="00F07D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95153F"/>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5640</Words>
  <Characters>6338</Characters>
  <Lines>52</Lines>
  <Paragraphs>14</Paragraphs>
  <TotalTime>26</TotalTime>
  <ScaleCrop>false</ScaleCrop>
  <LinksUpToDate>false</LinksUpToDate>
  <CharactersWithSpaces>6356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2024-12-09T04:51:33Z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